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Приложение 2</w:t>
      </w:r>
      <w:r>
        <w:rPr>
          <w:rFonts w:cs="Times New Roman" w:ascii="Times New Roman" w:hAnsi="Times New Roman"/>
          <w:bCs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39"/>
          <w:szCs w:val="35"/>
        </w:rPr>
      </w:pPr>
      <w:r>
        <w:rPr>
          <w:rFonts w:cs="Arial-BoldMT" w:ascii="Arial-BoldMT" w:hAnsi="Arial-BoldMT"/>
          <w:b/>
          <w:bCs/>
          <w:color w:val="000000"/>
          <w:sz w:val="39"/>
          <w:szCs w:val="35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39"/>
          <w:szCs w:val="35"/>
        </w:rPr>
      </w:pPr>
      <w:r>
        <w:rPr>
          <w:rFonts w:cs="Arial-BoldMT" w:ascii="Arial-BoldMT" w:hAnsi="Arial-BoldMT"/>
          <w:b/>
          <w:bCs/>
          <w:color w:val="000000"/>
          <w:sz w:val="39"/>
          <w:szCs w:val="35"/>
        </w:rPr>
        <w:t>Опрос об удовлетворенности</w:t>
      </w:r>
      <w:r>
        <w:rPr>
          <w:rFonts w:cs="Arial-BoldMT"/>
          <w:b/>
          <w:bCs/>
          <w:color w:val="000000"/>
          <w:sz w:val="39"/>
          <w:szCs w:val="35"/>
        </w:rPr>
        <w:t xml:space="preserve"> юридических лиц</w:t>
      </w:r>
      <w:r>
        <w:rPr>
          <w:rFonts w:cs="Arial-BoldMT" w:ascii="Arial-BoldMT" w:hAnsi="Arial-BoldMT"/>
          <w:b/>
          <w:bCs/>
          <w:color w:val="000000"/>
          <w:sz w:val="39"/>
          <w:szCs w:val="35"/>
        </w:rPr>
        <w:t xml:space="preserve"> безопасностью </w:t>
      </w:r>
      <w:r>
        <w:rPr>
          <w:rFonts w:cs="Arial-BoldMT" w:ascii="Arial-BoldMT" w:hAnsi="Arial-BoldMT"/>
          <w:b/>
          <w:bCs/>
          <w:sz w:val="39"/>
          <w:szCs w:val="35"/>
        </w:rPr>
        <w:t xml:space="preserve">банковских услуг </w:t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color w:val="000000"/>
          <w:sz w:val="10"/>
          <w:szCs w:val="10"/>
        </w:rPr>
      </w:pPr>
      <w:r>
        <w:rPr>
          <w:rFonts w:cs="ArialMT" w:ascii="ArialMT" w:hAnsi="ArialMT"/>
          <w:color w:val="000000"/>
          <w:sz w:val="24"/>
          <w:szCs w:val="20"/>
        </w:rPr>
        <w:br/>
      </w:r>
    </w:p>
    <w:p>
      <w:pPr>
        <w:pStyle w:val="Normal"/>
        <w:spacing w:lineRule="auto" w:line="240" w:before="0" w:after="0"/>
        <w:jc w:val="both"/>
        <w:rPr>
          <w:rFonts w:cs="ArialMT"/>
          <w:i/>
          <w:i/>
          <w:color w:val="000000"/>
          <w:sz w:val="24"/>
          <w:szCs w:val="24"/>
        </w:rPr>
      </w:pPr>
      <w:r>
        <w:rPr>
          <w:rFonts w:cs="ArialMT"/>
          <w:i/>
          <w:color w:val="000000"/>
          <w:sz w:val="24"/>
          <w:szCs w:val="24"/>
        </w:rPr>
        <w:t>Приглашаем Вас принять участие в анонимном опросе о безопасности банковских услуг. Его результаты Банк России учтет в мероприятиях по обеспечению информационной безопасности финансовых организаций.</w:t>
      </w:r>
    </w:p>
    <w:p>
      <w:pPr>
        <w:pStyle w:val="ListParagraph"/>
        <w:spacing w:before="0" w:after="0"/>
        <w:ind w:left="426" w:hanging="0"/>
        <w:contextualSpacing/>
        <w:rPr>
          <w:rFonts w:cs="Arial-BoldMT"/>
          <w:b/>
          <w:b/>
          <w:bCs/>
          <w:sz w:val="24"/>
          <w:szCs w:val="20"/>
        </w:rPr>
      </w:pPr>
      <w:r>
        <w:rPr>
          <w:rFonts w:cs="Arial-BoldMT"/>
          <w:b/>
          <w:bCs/>
          <w:sz w:val="24"/>
          <w:szCs w:val="20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-BoldMT" w:hAnsi="Arial-BoldMT" w:cs="Arial-BoldMT"/>
          <w:b/>
          <w:b/>
          <w:bCs/>
          <w:sz w:val="24"/>
          <w:szCs w:val="20"/>
        </w:rPr>
      </w:pPr>
      <w:r>
        <w:rPr>
          <w:rFonts w:cs="Arial-BoldMT" w:ascii="Arial-BoldMT" w:hAnsi="Arial-BoldMT"/>
          <w:b/>
          <w:bCs/>
          <w:sz w:val="24"/>
          <w:szCs w:val="20"/>
        </w:rPr>
        <w:t xml:space="preserve">В каком субъекте Российской Федерации Ваше (Ваша) предприятие (организация) ведет свою деятельность? (выпадающий список) </w:t>
      </w:r>
    </w:p>
    <w:p>
      <w:pPr>
        <w:pStyle w:val="ListParagraph"/>
        <w:spacing w:before="0" w:after="0"/>
        <w:contextualSpacing/>
        <w:jc w:val="both"/>
        <w:rPr>
          <w:rFonts w:ascii="Arial-BoldMT" w:hAnsi="Arial-BoldMT" w:cs="Arial-BoldMT"/>
          <w:b/>
          <w:b/>
          <w:bCs/>
          <w:sz w:val="24"/>
          <w:szCs w:val="20"/>
        </w:rPr>
      </w:pPr>
      <w:r>
        <w:rPr>
          <w:rFonts w:cs="Arial-BoldMT" w:ascii="Arial-BoldMT" w:hAnsi="Arial-BoldMT"/>
          <w:b/>
          <w:bCs/>
          <w:sz w:val="24"/>
          <w:szCs w:val="20"/>
        </w:rPr>
        <w:t>(Один вариант ответа)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г. Москва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г. Санкт-Петербург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г. Севастополь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Алтайский край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Амурская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Архангельская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Астраханская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Белгородская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Брянская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Владимирская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Волгоградская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Вологодская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Воронежская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Еврейская автономная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Забайкальский край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Ивановская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Иркутская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Кабардино-Балкарская Республика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Калининградская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Калужская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Камчатский край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Карачаево-Черкесская Республика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Кемеровская область — Кузбасс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Кировская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Костромская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Краснодарский край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Красноярский край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Курганская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Курская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Ленинградская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Липецкая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Магаданская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Московская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Мурманская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Ненецкий автономный округ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Нижегородская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Новгородская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Новосибирская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Омская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Оренбургская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Орловская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Пензенская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Пермский край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Приморский край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Псковская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Адыгея (Адыгея)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Алтай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Башкортостан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Бурятия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Дагестан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Ингушетия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Калмыкия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Карелия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Коми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Крым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Марий Эл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Мордовия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Саха (Якутия)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Северная Осетия — Алания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Татарстан (Татарстан)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Тыва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Хакасия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Ростовская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Рязанская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Самарская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Саратовская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Сахалинская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Свердловская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Смоленская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Ставропольский край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Тамбовская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Тверская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Томская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Тульская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 xml:space="preserve">Тюменская область 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Удмуртская Республика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Ульяновская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Хабаровский край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Ханты-Мансийский автономный округ — Югра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Челябинская область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Чеченская Республика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Чувашская Республика — Чувашия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Чукотский автономный округ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Ямало-Ненецкий автономный округ</w:t>
      </w:r>
    </w:p>
    <w:p>
      <w:pPr>
        <w:pStyle w:val="ListParagraph"/>
        <w:numPr>
          <w:ilvl w:val="0"/>
          <w:numId w:val="13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Ярославская область</w: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contextualSpacing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Где именно ведется деятельность Вашего (Вашей) предприятия (организации)? (Один вариант ответа)</w:t>
      </w:r>
    </w:p>
    <w:p>
      <w:pPr>
        <w:pStyle w:val="Normal"/>
        <w:spacing w:before="0" w:after="0"/>
        <w:ind w:left="710" w:hanging="0"/>
        <w:contextualSpacing/>
        <w:rPr>
          <w:rFonts w:ascii="ArialMT" w:hAnsi="ArialMT" w:cs="ArialMT"/>
          <w:i/>
          <w:i/>
          <w:color w:val="000000" w:themeColor="text1"/>
        </w:rPr>
      </w:pPr>
      <w:r>
        <w:rPr>
          <w:rFonts w:cs="ArialMT" w:ascii="ArialMT" w:hAnsi="ArialMT"/>
          <w:i/>
          <w:color w:val="000000" w:themeColor="text1"/>
        </w:rPr>
        <w:t>если при ответе на вопрос 1 респондент выбирает варианты 1,2,3 – вопрос 2 не отображается</w:t>
      </w:r>
    </w:p>
    <w:p>
      <w:pPr>
        <w:pStyle w:val="Normal"/>
        <w:spacing w:before="0" w:after="0"/>
        <w:ind w:left="710" w:hanging="0"/>
        <w:contextualSpacing/>
        <w:rPr>
          <w:rFonts w:ascii="Arial-ItalicMT" w:hAnsi="Arial-ItalicMT" w:cs="Arial-ItalicMT"/>
          <w:i/>
          <w:i/>
          <w:iCs/>
          <w:color w:val="454545"/>
          <w:sz w:val="10"/>
          <w:szCs w:val="10"/>
        </w:rPr>
      </w:pPr>
      <w:r>
        <w:rPr>
          <w:rFonts w:cs="Arial-ItalicMT" w:ascii="Arial-ItalicMT" w:hAnsi="Arial-ItalicMT"/>
          <w:i/>
          <w:iCs/>
          <w:color w:val="454545"/>
          <w:sz w:val="10"/>
          <w:szCs w:val="10"/>
        </w:rPr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В городе-региональном центре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В иных городах, поселках городского типа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В сельском населенном пункте (село, деревня, поселок и т.п.)</w:t>
      </w:r>
    </w:p>
    <w:p>
      <w:pPr>
        <w:pStyle w:val="ListParagraph"/>
        <w:spacing w:before="0" w:after="0"/>
        <w:ind w:left="851" w:hanging="0"/>
        <w:contextualSpacing/>
        <w:rPr>
          <w:rFonts w:ascii="ArialMT" w:hAnsi="ArialMT" w:cs="ArialMT"/>
          <w:strike/>
          <w:color w:val="000000"/>
          <w:sz w:val="24"/>
          <w:szCs w:val="20"/>
        </w:rPr>
      </w:pPr>
      <w:r>
        <w:rPr>
          <w:rFonts w:cs="ArialMT" w:ascii="ArialMT" w:hAnsi="ArialMT"/>
          <w:strike/>
          <w:color w:val="000000"/>
          <w:sz w:val="24"/>
          <w:szCs w:val="20"/>
        </w:rPr>
      </w:r>
    </w:p>
    <w:p>
      <w:pPr>
        <w:pStyle w:val="ListParagraph"/>
        <w:numPr>
          <w:ilvl w:val="0"/>
          <w:numId w:val="4"/>
        </w:numPr>
        <w:spacing w:before="0" w:after="120"/>
        <w:ind w:left="714" w:hanging="357"/>
        <w:contextualSpacing w:val="false"/>
        <w:jc w:val="both"/>
        <w:rPr>
          <w:rFonts w:ascii="ArialMT" w:hAnsi="ArialMT" w:cs="ArialMT"/>
          <w:strike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Основной вид деятельности Вашего (Вашей) предприятия (организации) по ОКВЭД. (Один вариант ответа)</w:t>
      </w:r>
    </w:p>
    <w:p>
      <w:pPr>
        <w:pStyle w:val="ListParagraph"/>
        <w:numPr>
          <w:ilvl w:val="0"/>
          <w:numId w:val="2"/>
        </w:numPr>
        <w:spacing w:before="120" w:after="0"/>
        <w:ind w:left="850" w:hanging="493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Сельское, лесное хозяйство, охота, рыболовство и рыбоводство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Добыча полезных ископаемых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Обрабатывающие производства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Обеспечение электрической энергией, газом и паром; кондиционирование воздуха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Водоснабжение; водоотведение, организация сбора и утилизации отходов, деятельность по ликвидации загрязнений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Строительство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jc w:val="both"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Торговля оптовая и розничная; ремонт автотранспортных средств и мотоциклов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Транспортировка и хранение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Деятельность гостиниц и предприятий общественного питания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Деятельность в области информации и связи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Деятельность финансовая и страховая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Деятельность по операциям с недвижимым имуществом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Деятельность профессиональная, научная и техническая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Деятельность административная и сопутствующие дополнительные услуги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jc w:val="both"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Государственное управление и обеспечение военной безопасности, социальное обеспечение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Образование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Деятельность в области здравоохранения и социальных услуг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jc w:val="both"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Деятельность в области культуры, спорта, организации досуга и развлечений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Предоставление прочих видов услуг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jc w:val="both"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Деятельность домашних хозяйств как работодателей; недифференцированная деятельность частных домашних услуг для собственного потребления</w:t>
      </w:r>
    </w:p>
    <w:p>
      <w:pPr>
        <w:pStyle w:val="ListParagraph"/>
        <w:numPr>
          <w:ilvl w:val="0"/>
          <w:numId w:val="2"/>
        </w:numPr>
        <w:spacing w:before="0" w:after="0"/>
        <w:ind w:left="851" w:hanging="491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Деятельность экстерриториальных организаций и органов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center"/>
        <w:rPr>
          <w:rFonts w:ascii="ArialMT" w:hAnsi="ArialMT" w:cs="ArialMT"/>
          <w:i/>
          <w:i/>
          <w:color w:val="000000" w:themeColor="text1"/>
          <w:sz w:val="24"/>
          <w:szCs w:val="24"/>
        </w:rPr>
      </w:pPr>
      <w:r>
        <w:rPr>
          <w:rFonts w:cs="ArialMT" w:ascii="ArialMT" w:hAnsi="ArialMT"/>
          <w:i/>
          <w:color w:val="000000" w:themeColor="text1"/>
          <w:sz w:val="24"/>
          <w:szCs w:val="24"/>
        </w:rPr>
        <w:t xml:space="preserve">На следующие вопросы просим указывать ответ в отношении услуг и сервисов банка, которым Ваше (Ваша) предприятие (организация) чаще всего пользуется  </w:t>
      </w:r>
    </w:p>
    <w:p>
      <w:pPr>
        <w:pStyle w:val="ListParagraph"/>
        <w:spacing w:before="0" w:after="0"/>
        <w:ind w:left="1571" w:hanging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Банк оповещает Ваше (Вашу) предприятие (организацию) о правилах безопасного финансового поведения (о действиях мошенников, о способах защиты от них и др.)? (Один вариант ответа)</w:t>
      </w:r>
    </w:p>
    <w:p>
      <w:pPr>
        <w:pStyle w:val="ListParagraph"/>
        <w:spacing w:before="0" w:after="0"/>
        <w:ind w:left="502" w:hanging="0"/>
        <w:contextualSpacing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Да, оповещает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Нет, не оповещает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Не помню или затрудняюсь ответить</w:t>
      </w:r>
    </w:p>
    <w:p>
      <w:pPr>
        <w:pStyle w:val="ListParagraph"/>
        <w:spacing w:before="0" w:after="0"/>
        <w:ind w:left="502" w:hanging="0"/>
        <w:contextualSpacing/>
        <w:jc w:val="both"/>
        <w:rPr>
          <w:rFonts w:ascii="Arial Black" w:hAnsi="Arial Black" w:cs="Arial-BoldMT"/>
          <w:bCs/>
          <w:sz w:val="24"/>
          <w:szCs w:val="20"/>
        </w:rPr>
      </w:pPr>
      <w:r>
        <w:rPr>
          <w:rFonts w:cs="Arial-BoldMT" w:ascii="Arial Black" w:hAnsi="Arial Black"/>
          <w:bCs/>
          <w:sz w:val="24"/>
          <w:szCs w:val="20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 xml:space="preserve">Каким образом банк оповещает Ваше (Вашу) предприятие (организацию) о правилах безопасного финансового поведения (о действиях мошенников, о способах защиты от них и др.)?  (Респонденты могут выбрать все подходящие варианты ответов). </w:t>
      </w:r>
    </w:p>
    <w:p>
      <w:pPr>
        <w:pStyle w:val="Normal"/>
        <w:spacing w:before="0" w:after="0"/>
        <w:ind w:left="710" w:hanging="0"/>
        <w:contextualSpacing/>
        <w:rPr>
          <w:rFonts w:ascii="ArialMT" w:hAnsi="ArialMT" w:cs="ArialMT"/>
          <w:i/>
          <w:i/>
          <w:color w:val="000000" w:themeColor="text1"/>
        </w:rPr>
      </w:pPr>
      <w:r>
        <w:rPr>
          <w:rFonts w:cs="ArialMT" w:ascii="ArialMT" w:hAnsi="ArialMT"/>
          <w:i/>
          <w:color w:val="000000" w:themeColor="text1"/>
        </w:rPr>
        <w:t>*если при ответе на вопрос 4 респондент выбирает вариант – Да, то отображается вопрос 5)</w:t>
      </w:r>
    </w:p>
    <w:p>
      <w:pPr>
        <w:pStyle w:val="ListParagraph"/>
        <w:numPr>
          <w:ilvl w:val="0"/>
          <w:numId w:val="6"/>
        </w:numPr>
        <w:spacing w:before="240" w:after="0"/>
        <w:ind w:left="499" w:hanging="357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Информация в мобильном приложении банка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Информация на экранах банкоматов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Информация на сайте банка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Смс-информирование и информирование в мессенджерах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Информация в виде плакатов или брошюр в помещении банка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Информирование в контакт-центре банка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Информирование электронной почтовой рассылкой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  <w:t>Выступление представителей банка перед сотрудниками Вашего (Вашей) предприятия (организации)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sz w:val="24"/>
          <w:szCs w:val="20"/>
        </w:rPr>
      </w:pPr>
      <w:r>
        <w:rPr>
          <w:rFonts w:cs="ArialMT" w:ascii="ArialMT" w:hAnsi="ArialMT"/>
          <w:sz w:val="24"/>
          <w:szCs w:val="20"/>
        </w:rPr>
        <w:t>Все перечисленные варианты (</w:t>
      </w:r>
      <w:r>
        <w:rPr>
          <w:rFonts w:cs="ArialMT" w:ascii="ArialMT" w:hAnsi="ArialMT"/>
          <w:i/>
        </w:rPr>
        <w:t>реализовано возможностью кликнуть на фразу «выбрать все», указанную перед вариантами ответов)</w:t>
      </w:r>
      <w:r>
        <w:rPr>
          <w:rFonts w:cs="ArialMT" w:ascii="ArialMT" w:hAnsi="ArialMT"/>
          <w:sz w:val="24"/>
          <w:szCs w:val="20"/>
        </w:rPr>
        <w:t>.</w:t>
      </w:r>
    </w:p>
    <w:p>
      <w:pPr>
        <w:pStyle w:val="ListParagraph"/>
        <w:spacing w:before="0" w:after="0"/>
        <w:ind w:left="851" w:hanging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Оцените, была ли понятна и полезна информация о правилах безопасного финансового поведения (о действиях мошенников, о способах защиты от них и др.), полученная Вашим (Вашей) предприятием (организацией)? (Один вариант ответа)</w:t>
      </w:r>
    </w:p>
    <w:p>
      <w:pPr>
        <w:pStyle w:val="Normal"/>
        <w:spacing w:before="0" w:after="0"/>
        <w:ind w:left="710" w:hanging="0"/>
        <w:contextualSpacing/>
        <w:rPr>
          <w:rFonts w:ascii="ArialMT" w:hAnsi="ArialMT" w:cs="ArialMT"/>
          <w:i/>
          <w:i/>
          <w:color w:val="000000" w:themeColor="text1"/>
        </w:rPr>
      </w:pPr>
      <w:r>
        <w:rPr>
          <w:rFonts w:cs="ArialMT" w:ascii="ArialMT" w:hAnsi="ArialMT"/>
          <w:i/>
          <w:color w:val="000000" w:themeColor="text1"/>
        </w:rPr>
        <w:t>*если при ответе на вопрос 4 респондент выбирает вариант – Да, то после 5 вопроса отображается вопрос 6)</w:t>
      </w:r>
    </w:p>
    <w:p>
      <w:pPr>
        <w:pStyle w:val="Normal"/>
        <w:spacing w:before="0" w:after="0"/>
        <w:contextualSpacing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Информация понятна и помогла не пострадать от мошенников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 xml:space="preserve">Информация в целом понятна, приняли ее к сведению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Информация была непонятна и неприменима на практике</w:t>
      </w:r>
    </w:p>
    <w:p>
      <w:pPr>
        <w:pStyle w:val="ListParagraph"/>
        <w:spacing w:before="0" w:after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Насколько Ваше (Ваша) предприятие (организация) удовлетворено (удовлетворена) безопасностью предоставления финансовых услуг с помощью онлайн-сервисов Вашего банка (мобильное приложение, личный кабинет на сайте банка и иные сервисы)? (Один вариант ответа)</w:t>
      </w:r>
    </w:p>
    <w:p>
      <w:pPr>
        <w:pStyle w:val="ListParagraph"/>
        <w:spacing w:before="0" w:after="0"/>
        <w:ind w:left="502" w:hanging="0"/>
        <w:contextualSpacing w:val="false"/>
        <w:jc w:val="both"/>
        <w:rPr>
          <w:rFonts w:ascii="Arial-ItalicMT" w:hAnsi="Arial-ItalicMT" w:cs="Arial-ItalicMT"/>
          <w:i/>
          <w:i/>
          <w:iCs/>
          <w:color w:val="000000" w:themeColor="text1"/>
          <w:sz w:val="24"/>
          <w:szCs w:val="20"/>
        </w:rPr>
      </w:pPr>
      <w:r>
        <w:rPr>
          <w:rFonts w:cs="Arial-ItalicMT" w:ascii="Arial-ItalicMT" w:hAnsi="Arial-ItalicMT"/>
          <w:i/>
          <w:iCs/>
          <w:color w:val="000000" w:themeColor="text1"/>
          <w:sz w:val="24"/>
          <w:szCs w:val="20"/>
        </w:rPr>
        <w:t>Оцените по шкале от 1 до 5 (1 – совершенно не удовлетворен, 5 – полностью удовлетворен).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1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2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3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4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5</w:t>
      </w:r>
    </w:p>
    <w:p>
      <w:pPr>
        <w:pStyle w:val="ListParagraph"/>
        <w:spacing w:before="0" w:after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Пользуется ли Ваше (Ваша) предприятие (организация) Системой быстрых платежей Банка России? (Один вариант ответа)</w:t>
      </w:r>
    </w:p>
    <w:p>
      <w:pPr>
        <w:pStyle w:val="ListParagraph"/>
        <w:spacing w:before="0" w:after="0"/>
        <w:ind w:left="502" w:hanging="0"/>
        <w:contextualSpacing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Да, слышали и активно пользуемся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Слышали и пользуемся редко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Слышали, но не пользуемся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Нет, не слышали и не пользуемся</w:t>
      </w:r>
    </w:p>
    <w:p>
      <w:pPr>
        <w:pStyle w:val="Normal"/>
        <w:spacing w:before="0" w:after="0"/>
        <w:contextualSpacing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  <w:t xml:space="preserve">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За последний год Ваше (Ваша) предприятие (организация) часто сталкивалось (сталкивалась) со сбоями в работе онлайн-сервисов Вашего банка (мобильное приложение, личный кабинет на сайте банка и иные сервисы)? (Один вариант ответа)</w:t>
      </w:r>
    </w:p>
    <w:p>
      <w:pPr>
        <w:pStyle w:val="Normal"/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Normal"/>
        <w:numPr>
          <w:ilvl w:val="0"/>
          <w:numId w:val="10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Не сталкивалось(сталкивалась)</w:t>
      </w:r>
    </w:p>
    <w:p>
      <w:pPr>
        <w:pStyle w:val="Normal"/>
        <w:numPr>
          <w:ilvl w:val="0"/>
          <w:numId w:val="10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1-2 раза</w:t>
      </w:r>
    </w:p>
    <w:p>
      <w:pPr>
        <w:pStyle w:val="Normal"/>
        <w:numPr>
          <w:ilvl w:val="0"/>
          <w:numId w:val="10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3-5 раз</w:t>
      </w:r>
    </w:p>
    <w:p>
      <w:pPr>
        <w:pStyle w:val="Normal"/>
        <w:numPr>
          <w:ilvl w:val="0"/>
          <w:numId w:val="10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Более 6 раз</w:t>
      </w:r>
    </w:p>
    <w:p>
      <w:pPr>
        <w:pStyle w:val="ListParagraph"/>
        <w:spacing w:before="0" w:after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502" w:hanging="0"/>
        <w:contextualSpacing w:val="false"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center"/>
        <w:rPr>
          <w:rFonts w:ascii="ArialMT" w:hAnsi="ArialMT" w:cs="ArialMT"/>
          <w:i/>
          <w:i/>
          <w:color w:val="000000" w:themeColor="text1"/>
          <w:sz w:val="24"/>
          <w:szCs w:val="20"/>
        </w:rPr>
      </w:pPr>
      <w:r>
        <w:rPr>
          <w:rFonts w:cs="ArialMT" w:ascii="ArialMT" w:hAnsi="ArialMT"/>
          <w:i/>
          <w:color w:val="000000" w:themeColor="text1"/>
          <w:sz w:val="24"/>
          <w:szCs w:val="20"/>
        </w:rPr>
        <w:t>Просим Вас ответить на вопросы о мошеннических действиях, направленных на хищение денежных средств.</w:t>
      </w:r>
    </w:p>
    <w:p>
      <w:pPr>
        <w:pStyle w:val="ListParagraph"/>
        <w:spacing w:before="0" w:after="0"/>
        <w:ind w:left="502" w:hanging="0"/>
        <w:contextualSpacing/>
        <w:rPr>
          <w:rFonts w:ascii="ArialMT" w:hAnsi="ArialMT" w:cs="ArialMT"/>
          <w:i/>
          <w:i/>
          <w:color w:val="000000" w:themeColor="text1"/>
          <w:sz w:val="24"/>
          <w:szCs w:val="20"/>
        </w:rPr>
      </w:pPr>
      <w:r>
        <w:rPr>
          <w:rFonts w:cs="ArialMT" w:ascii="ArialMT" w:hAnsi="ArialMT"/>
          <w:i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Сталкивалось (сталкивалась) ли Ваше (Ваша) предприятие (организация) за последний год с мошенническими действиями или хищениями денежных средств Вашего (Вашей) предприятия (организации)? (Один вариант ответа)</w:t>
      </w:r>
    </w:p>
    <w:p>
      <w:pPr>
        <w:pStyle w:val="ListParagraph"/>
        <w:spacing w:before="0" w:after="0"/>
        <w:ind w:left="502" w:hanging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11"/>
        </w:numPr>
        <w:spacing w:before="0" w:after="0"/>
        <w:contextualSpacing w:val="false"/>
        <w:jc w:val="both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Сталкивалось (сталкивалась), хищение произошло.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Сталкивалось (сталкивалась), хищение не произошло.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Не сталкивалось (сталкивалась)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Затрудняюсь ответить</w:t>
      </w:r>
    </w:p>
    <w:p>
      <w:pPr>
        <w:pStyle w:val="ListParagraph"/>
        <w:spacing w:before="0" w:after="0"/>
        <w:ind w:left="502" w:hanging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Normal"/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С какими способами мошенничества столкнулось (столкнулась) Ваше предприятие (организация)?</w:t>
      </w:r>
    </w:p>
    <w:p>
      <w:pPr>
        <w:pStyle w:val="Normal"/>
        <w:spacing w:before="0" w:after="0"/>
        <w:ind w:left="710" w:hanging="0"/>
        <w:contextualSpacing/>
        <w:jc w:val="both"/>
        <w:rPr>
          <w:rFonts w:ascii="ArialMT" w:hAnsi="ArialMT" w:cs="ArialMT"/>
          <w:i/>
          <w:i/>
          <w:color w:val="000000" w:themeColor="text1"/>
        </w:rPr>
      </w:pPr>
      <w:r>
        <w:rPr>
          <w:rFonts w:cs="ArialMT" w:ascii="ArialMT" w:hAnsi="ArialMT"/>
          <w:i/>
          <w:color w:val="000000" w:themeColor="text1"/>
        </w:rPr>
        <w:t>*если при ответе на вопрос 10 респондент выбирает варианты – Сталкивалось(лась), хищение произошло, Сталкивалось(лась), хищение не произошло, то отображается вопрос 11, в иных случаях – анкета завершена)</w:t>
      </w:r>
    </w:p>
    <w:p>
      <w:pPr>
        <w:pStyle w:val="ListParagraph"/>
        <w:spacing w:before="0" w:after="0"/>
        <w:ind w:left="851" w:hanging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Телефонное и СМС мошенничество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Поддельный сайт (банка, магазина, учреждения, аптеки и пр.)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Поддельное приложение банка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Мошенничество в мессенджерах (Whatsapp, Telegram и пр.)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 xml:space="preserve">Почтовая рассылка (на электронный почтовый </w:t>
      </w:r>
      <w:r>
        <w:rPr>
          <w:rFonts w:cs="ArialMT" w:ascii="ArialMT" w:hAnsi="ArialMT"/>
          <w:sz w:val="24"/>
          <w:szCs w:val="20"/>
        </w:rPr>
        <w:t>ящик</w:t>
      </w:r>
      <w:r>
        <w:rPr>
          <w:rFonts w:cs="ArialMT" w:ascii="ArialMT" w:hAnsi="ArialMT"/>
          <w:color w:val="000000" w:themeColor="text1"/>
          <w:sz w:val="24"/>
          <w:szCs w:val="20"/>
        </w:rPr>
        <w:t>)</w:t>
      </w:r>
    </w:p>
    <w:p>
      <w:pPr>
        <w:pStyle w:val="Normal"/>
        <w:spacing w:before="0" w:after="0"/>
        <w:ind w:left="142" w:hanging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Normal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cs="Times New Roman" w:ascii="Times New Roman" w:hAnsi="Times New Roman"/>
          <w:strike/>
          <w:sz w:val="28"/>
          <w:szCs w:val="28"/>
        </w:rPr>
      </w:r>
    </w:p>
    <w:p>
      <w:pPr>
        <w:pStyle w:val="ListParagraph"/>
        <w:spacing w:before="0" w:after="0"/>
        <w:ind w:left="502" w:hanging="0"/>
        <w:contextualSpacing/>
        <w:jc w:val="center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  <w:t>Благодарим за участие в опросе.</w:t>
      </w:r>
    </w:p>
    <w:p>
      <w:pPr>
        <w:pStyle w:val="ListParagraph"/>
        <w:spacing w:before="0" w:after="0"/>
        <w:ind w:left="502" w:hanging="0"/>
        <w:contextualSpacing/>
        <w:jc w:val="center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spacing w:before="0" w:after="0"/>
        <w:ind w:left="502" w:hanging="0"/>
        <w:contextualSpacing w:val="false"/>
        <w:jc w:val="center"/>
        <w:rPr>
          <w:rFonts w:ascii="Arial-BoldMT" w:hAnsi="Arial-BoldMT" w:cs="Arial-BoldMT"/>
          <w:b/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Не теряйте бдительности! Для хищения денег у граждан злоумышленники используют все более изощренные способы. Узнайте о распространенных мошеннических схемах и рекомендациях по защите от них в разделе «</w:t>
      </w:r>
      <w:hyperlink r:id="rId2">
        <w:r>
          <w:rPr>
            <w:sz w:val="24"/>
            <w:szCs w:val="24"/>
          </w:rPr>
          <w:t>Противодействие мошенническим практикам</w:t>
        </w:r>
      </w:hyperlink>
      <w:r>
        <w:rPr>
          <w:sz w:val="24"/>
          <w:szCs w:val="24"/>
        </w:rPr>
        <w:t>»</w:t>
      </w:r>
    </w:p>
    <w:p>
      <w:pPr>
        <w:pStyle w:val="ListParagraph"/>
        <w:spacing w:before="0" w:after="0"/>
        <w:ind w:left="502" w:hanging="0"/>
        <w:contextualSpacing w:val="false"/>
        <w:jc w:val="center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/>
      </w:r>
    </w:p>
    <w:sectPr>
      <w:type w:val="continuous"/>
      <w:pgSz w:w="11906" w:h="16838"/>
      <w:pgMar w:left="1701" w:right="850" w:gutter="0" w:header="0" w:top="1134" w:footer="0" w:bottom="1134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Arial">
    <w:charset w:val="01"/>
    <w:family w:val="roman"/>
    <w:pitch w:val="variable"/>
  </w:font>
  <w:font w:name="Arial-ItalicMT">
    <w:charset w:val="01"/>
    <w:family w:val="roman"/>
    <w:pitch w:val="variable"/>
  </w:font>
  <w:font w:name="Arial Black">
    <w:charset w:val="01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"/>
      <w:lvlJc w:val="left"/>
      <w:pPr>
        <w:tabs>
          <w:tab w:val="num" w:pos="0"/>
        </w:tabs>
        <w:ind w:left="1070" w:hanging="360"/>
      </w:pPr>
      <w:rPr>
        <w:rFonts w:ascii="Wingdings 2" w:hAnsi="Wingdings 2" w:cs="Wingdings 2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720"/>
      </w:pPr>
      <w:rPr>
        <w:rFonts w:ascii="Calibri" w:hAnsi="Calibri" w:ascii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sz w:val="22"/>
        <w:i w:val="false"/>
        <w:b/>
        <w:szCs w:val="22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06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1740c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66781c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a4041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a404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53d8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c"/>
    <w:uiPriority w:val="99"/>
    <w:qFormat/>
    <w:rsid w:val="00af53d8"/>
    <w:rPr>
      <w:sz w:val="20"/>
      <w:szCs w:val="20"/>
    </w:rPr>
  </w:style>
  <w:style w:type="character" w:styleId="Style19" w:customStyle="1">
    <w:name w:val="Тема примечания Знак"/>
    <w:basedOn w:val="Style18"/>
    <w:link w:val="ae"/>
    <w:uiPriority w:val="99"/>
    <w:semiHidden/>
    <w:qFormat/>
    <w:rsid w:val="00af53d8"/>
    <w:rPr>
      <w:b/>
      <w:bCs/>
      <w:sz w:val="20"/>
      <w:szCs w:val="20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a41f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174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2632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8"/>
    <w:uiPriority w:val="99"/>
    <w:unhideWhenUsed/>
    <w:rsid w:val="002a404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a"/>
    <w:uiPriority w:val="99"/>
    <w:unhideWhenUsed/>
    <w:rsid w:val="002a404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d"/>
    <w:uiPriority w:val="99"/>
    <w:unhideWhenUsed/>
    <w:qFormat/>
    <w:rsid w:val="00af53d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af53d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br.ru/information_security/pmp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1E6A-66D8-4AF2-AFE9-101D0EED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LibreOffice/7.2.4.1$Linux_X86_64 LibreOffice_project/20$Build-1</Application>
  <AppVersion>15.0000</AppVersion>
  <DocSecurity>4</DocSecurity>
  <Pages>5</Pages>
  <Words>1404</Words>
  <Characters>7031</Characters>
  <CharactersWithSpaces>7791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2022-10-28T03:45:00Z</dcterms:created>
  <dc:creator>Зорин Сергей Александрович</dc:creator>
  <dc:description/>
  <dc:language>ru-RU</dc:language>
  <cp:lastModifiedBy>Черниенко Татьяна Борисовна</cp:lastModifiedBy>
  <cp:lastPrinted>2022-10-20T14:06:00Z</cp:lastPrinted>
  <dcterms:modified xsi:type="dcterms:W3CDTF">2022-10-28T03:45:00Z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