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>
      <w:pPr>
        <w:pStyle w:val="Normal"/>
        <w:jc w:val="center"/>
        <w:rPr>
          <w:b/>
          <w:b/>
          <w:smallCaps/>
          <w:spacing w:val="200"/>
          <w:sz w:val="48"/>
          <w:szCs w:val="28"/>
        </w:rPr>
      </w:pPr>
      <w:r>
        <w:rPr>
          <w:b/>
          <w:smallCaps/>
          <w:spacing w:val="200"/>
          <w:sz w:val="48"/>
          <w:szCs w:val="28"/>
        </w:rPr>
      </w:r>
    </w:p>
    <w:p>
      <w:pPr>
        <w:pStyle w:val="Heading2"/>
        <w:tabs>
          <w:tab w:val="clear" w:pos="708"/>
          <w:tab w:val="left" w:pos="9072" w:leader="none"/>
          <w:tab w:val="left" w:pos="9355" w:leader="none"/>
        </w:tabs>
        <w:ind w:right="-1" w:hanging="0"/>
        <w:rPr/>
      </w:pPr>
      <w:r>
        <w:rPr/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13.08.2019                                                                                             № 777</w:t>
      </w:r>
    </w:p>
    <w:p>
      <w:pPr>
        <w:pStyle w:val="Normal"/>
        <w:rPr/>
      </w:pPr>
      <w:r>
        <w:rPr/>
      </w:r>
    </w:p>
    <w:p>
      <w:pPr>
        <w:pStyle w:val="Aniiyaiea"/>
        <w:rPr/>
      </w:pPr>
      <w:r>
        <w:rPr/>
        <w:t>г.Вилючинск</w:t>
      </w:r>
    </w:p>
    <w:p>
      <w:pPr>
        <w:pStyle w:val="21"/>
        <w:spacing w:lineRule="auto" w:line="240" w:before="0" w:after="0"/>
        <w:rPr>
          <w:bCs/>
          <w:szCs w:val="28"/>
        </w:rPr>
      </w:pPr>
      <w:r>
        <w:rPr>
          <w:bCs/>
          <w:szCs w:val="28"/>
        </w:rPr>
      </w:r>
    </w:p>
    <w:p>
      <w:pPr>
        <w:pStyle w:val="21"/>
        <w:spacing w:lineRule="auto" w:line="240" w:before="0" w:after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создании комиссии </w:t>
      </w:r>
      <w:r>
        <w:rPr>
          <w:sz w:val="28"/>
          <w:szCs w:val="28"/>
        </w:rPr>
        <w:t xml:space="preserve">по оценке </w:t>
      </w:r>
    </w:p>
    <w:p>
      <w:pPr>
        <w:pStyle w:val="21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готовности потребителей тепловой</w:t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энергии Вилючинского городского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округа к отопительному периоду</w:t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2019-2020 г.г.</w:t>
      </w:r>
    </w:p>
    <w:p>
      <w:pPr>
        <w:pStyle w:val="21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shd w:fill="FFFFFF" w:val="clear"/>
        <w:suppressAutoHyphens w:val="true"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>
      <w:pPr>
        <w:pStyle w:val="21"/>
        <w:suppressAutoHyphens w:val="true"/>
        <w:spacing w:lineRule="auto" w:line="240" w:before="0" w:after="0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21"/>
        <w:suppressAutoHyphens w:val="true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состав</w:t>
      </w:r>
      <w:r>
        <w:rPr>
          <w:bCs/>
          <w:sz w:val="28"/>
          <w:szCs w:val="28"/>
        </w:rPr>
        <w:t xml:space="preserve"> комиссии по </w:t>
      </w:r>
      <w:r>
        <w:rPr>
          <w:bCs/>
          <w:sz w:val="28"/>
          <w:szCs w:val="28"/>
          <w:lang w:val="ru-RU"/>
        </w:rPr>
        <w:t>оценке готовности потребителей тепловой энергии Вилючинского городского округа к отопительному периоду 2019-2020 г.г.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согласно приложению к настоящему постановлению.</w:t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/>
      </w:pPr>
      <w:r>
        <w:rPr>
          <w:bCs/>
          <w:sz w:val="28"/>
          <w:szCs w:val="28"/>
          <w:lang w:val="ru-RU"/>
        </w:rPr>
        <w:t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Иванинова С.Г.</w:t>
      </w:r>
    </w:p>
    <w:p>
      <w:pPr>
        <w:pStyle w:val="21"/>
        <w:spacing w:lineRule="auto" w:line="240" w:before="0"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21"/>
        <w:spacing w:lineRule="auto" w:line="240" w:before="0"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right="-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right="-1" w:hanging="0"/>
        <w:jc w:val="both"/>
        <w:rPr/>
      </w:pPr>
      <w:r>
        <w:rPr>
          <w:b/>
          <w:sz w:val="28"/>
          <w:szCs w:val="28"/>
        </w:rPr>
        <w:t>городского округа</w:t>
        <w:tab/>
        <w:tab/>
        <w:tab/>
        <w:tab/>
        <w:tab/>
        <w:tab/>
        <w:tab/>
        <w:t xml:space="preserve">         Г.Н. Смирнова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21"/>
        <w:spacing w:lineRule="auto" w:line="240" w:before="0" w:after="0"/>
        <w:jc w:val="both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4503"/>
      </w:tblGrid>
      <w:tr>
        <w:trPr/>
        <w:tc>
          <w:tcPr>
            <w:tcW w:w="5351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к постановлению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городского округа от 13.08.2019 № 777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Комиссии по оценке готовности потребителей тепловой энергии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Вилючинского городского округа к отопительному периоду 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2019 – 2020 г.г.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778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Иванинов Сергей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заместитель главы администрации 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Вилючинского городского округа.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 председателя  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Светличный Александр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Кириленко Анастасия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Владимировна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советник отдела по управлению городским хозяйством администрации Вилючинского городского округа.        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Агапитов Николай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мастер тепловых сетей Вилючинского энергорайона (ж.р. «Рыбачий») АО «Камчатэнергосервис» (по согласованию);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Левикова Марина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начальник отдела по управлению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муниципальным имуществом администрации Вилючинского городского округа;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Паромонов Игорь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мастер тепловых сетей Вилючинского энергорайона (ж.р. «Приморский») АО «Камчатэнергосервис» (по согласованию);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Холодов Тимофей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архитектуры и градостроительства администрации Вилючинского городского округа.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1134" w:hanging="0"/>
        <w:rPr/>
      </w:pPr>
      <w:r>
        <w:rPr/>
        <w:t xml:space="preserve"> 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8"/>
        <w:bCs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bCs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sz w:val="28"/>
        <w:szCs w:val="28"/>
        <w:bCs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sz w:val="28"/>
        <w:szCs w:val="28"/>
        <w:bCs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sz w:val="28"/>
        <w:szCs w:val="28"/>
        <w:bCs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sz w:val="28"/>
        <w:szCs w:val="28"/>
        <w:bCs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sz w:val="28"/>
        <w:szCs w:val="28"/>
        <w:bCs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sz w:val="28"/>
        <w:szCs w:val="28"/>
        <w:bCs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sz w:val="28"/>
        <w:szCs w:val="28"/>
        <w:bCs/>
        <w:lang w:val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center"/>
      <w:outlineLvl w:val="1"/>
    </w:pPr>
    <w:rPr>
      <w:b/>
      <w:spacing w:val="200"/>
      <w:sz w:val="40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pacing w:val="200"/>
      <w:sz w:val="40"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bCs/>
      <w:sz w:val="28"/>
      <w:szCs w:val="28"/>
      <w:lang w:val="ru-RU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6"/>
      <w:szCs w:val="20"/>
    </w:rPr>
  </w:style>
  <w:style w:type="paragraph" w:styleId="TextBody">
    <w:name w:val="Body Text"/>
    <w:basedOn w:val="Normal"/>
    <w:pPr>
      <w:spacing w:before="0" w:after="120"/>
    </w:pPr>
    <w:rPr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Normal">
    <w:name w:val="ConsNormal"/>
    <w:qFormat/>
    <w:pPr>
      <w:widowControl w:val="false"/>
      <w:autoSpaceDE w:val="false"/>
      <w:ind w:right="19772" w:firstLine="720"/>
    </w:pPr>
    <w:rPr>
      <w:rFonts w:ascii="Arial" w:hAnsi="Arial" w:eastAsia="Times New Roman" w:cs="Arial"/>
      <w:color w:val="auto"/>
      <w:sz w:val="16"/>
      <w:szCs w:val="16"/>
      <w:lang w:val="ru-RU" w:bidi="ar-SA" w:eastAsia="zh-CN"/>
    </w:rPr>
  </w:style>
  <w:style w:type="paragraph" w:styleId="ConsNonformat">
    <w:name w:val="ConsNonformat"/>
    <w:qFormat/>
    <w:pPr>
      <w:widowControl w:val="false"/>
      <w:autoSpaceDE w:val="false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4"/>
      <w:szCs w:val="14"/>
      <w:lang w:val="ru-RU" w:bidi="ar-SA" w:eastAsia="zh-CN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lang w:val="en-US"/>
    </w:rPr>
  </w:style>
  <w:style w:type="paragraph" w:styleId="Style11">
    <w:name w:val="Название объекта"/>
    <w:basedOn w:val="Normal"/>
    <w:next w:val="Normal"/>
    <w:qFormat/>
    <w:pPr/>
    <w:rPr>
      <w:sz w:val="28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iiyaiea">
    <w:name w:val="?anii?y?aiea"/>
    <w:basedOn w:val="Normal"/>
    <w:next w:val="TextBody"/>
    <w:qFormat/>
    <w:pPr>
      <w:overflowPunct w:val="false"/>
      <w:autoSpaceDE w:val="false"/>
      <w:jc w:val="center"/>
    </w:pPr>
    <w:rPr>
      <w:sz w:val="20"/>
      <w:szCs w:val="20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2016-05-31T02:42:00Z</dcterms:created>
  <dc:creator>Финуправление</dc:creator>
  <dc:description/>
  <cp:keywords/>
  <dc:language>en-US</dc:language>
  <cp:lastModifiedBy>Киселев</cp:lastModifiedBy>
  <cp:lastPrinted>2019-08-12T18:18:00Z</cp:lastPrinted>
  <dcterms:modified xsi:type="dcterms:W3CDTF">2019-08-14T08:30:00Z</dcterms:modified>
  <cp:revision>61</cp:revision>
  <dc:subject/>
  <dc:title>АДМИНИСТРАЦИЯ КАМЧАТСКОЙ ОБЛАСТИ</dc:title>
</cp:coreProperties>
</file>